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1" w:after="0"/>
        <w:ind w:left="0" w:right="0" w:hanging="0"/>
        <w:jc w:val="left"/>
        <w:rPr>
          <w:rFonts w:ascii="Calibri" w:hAnsi="Calibri"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tabs>
          <w:tab w:val="clear" w:pos="720"/>
          <w:tab w:val="left" w:pos="7267" w:leader="none"/>
        </w:tabs>
        <w:jc w:val="center"/>
        <w:rPr>
          <w:rFonts w:ascii="Calibri" w:hAnsi="Calibri" w:eastAsia="Calibri" w:cs="Calibri"/>
          <w:b/>
          <w:b/>
          <w:color w:val="000000"/>
        </w:rPr>
      </w:pPr>
      <w:r>
        <w:rPr>
          <w:rFonts w:eastAsia="Calibri" w:cs="Calibri" w:ascii="Calibri" w:hAnsi="Calibri"/>
          <w:b/>
          <w:color w:val="000000"/>
          <w:sz w:val="24"/>
          <w:szCs w:val="24"/>
        </w:rPr>
        <w:t>APÊNDICE I</w:t>
      </w:r>
      <w:r>
        <w:rPr>
          <w:rFonts w:eastAsia="Calibri" w:cs="Calibri" w:ascii="Calibri" w:hAnsi="Calibri"/>
          <w:b/>
          <w:color w:val="000000"/>
          <w:sz w:val="24"/>
          <w:szCs w:val="24"/>
        </w:rPr>
        <w:t>I</w:t>
      </w:r>
      <w:r>
        <w:rPr>
          <w:rFonts w:eastAsia="Calibri" w:cs="Calibri" w:ascii="Calibri" w:hAnsi="Calibri"/>
          <w:b/>
          <w:color w:val="000000"/>
          <w:sz w:val="24"/>
          <w:szCs w:val="24"/>
        </w:rPr>
        <w:t xml:space="preserve"> DO ANEXO I</w:t>
      </w:r>
    </w:p>
    <w:p>
      <w:pPr>
        <w:pStyle w:val="Ttulododocumento"/>
        <w:ind w:left="2956" w:right="1634" w:hanging="0"/>
        <w:rPr>
          <w:rFonts w:ascii="Calibri" w:hAnsi="Calibri" w:eastAsia="Calibri" w:cs="Calibri"/>
          <w:sz w:val="24"/>
          <w:szCs w:val="24"/>
        </w:rPr>
      </w:pPr>
      <w:r>
        <w:rPr/>
      </w:r>
    </w:p>
    <w:p>
      <w:pPr>
        <w:pStyle w:val="Ttulododocumento"/>
        <w:widowControl w:val="false"/>
        <w:bidi w:val="0"/>
        <w:spacing w:before="0" w:after="0"/>
        <w:ind w:left="0" w:right="0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INSTRUMENTO DE MEDIÇÃO DE RESULTADO (IMR)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left"/>
        <w:rPr>
          <w:rFonts w:ascii="Calibri" w:hAnsi="Calibri" w:eastAsia="Calibri" w:cs="Calibri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1" w:after="0"/>
        <w:ind w:left="0" w:right="0" w:hanging="0"/>
        <w:jc w:val="left"/>
        <w:rPr>
          <w:rFonts w:ascii="Calibri" w:hAnsi="Calibri" w:eastAsia="Calibri" w:cs="Calibri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0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243" w:right="0" w:hanging="359"/>
        <w:jc w:val="both"/>
        <w:rPr>
          <w:rFonts w:ascii="Calibri" w:hAnsi="Calibri"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Calibri" w:cs="Calibri" w:ascii="Calibri" w:hAnsi="Calibri"/>
          <w:b/>
          <w:sz w:val="24"/>
          <w:szCs w:val="24"/>
        </w:rPr>
        <w:t>DA DEFINIÇÃO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Este documento apresenta os critérios de avaliação da qualidade dos serviços, identificando indicadores, metas, mecanismos de cálculo, forma de acompanhamento e adequações de pagamento por eventual não atendimento das metas estabelecidas.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Este anexo é parte indissociável do Contrato XXX firmado a partir do Edital PE </w:t>
      </w:r>
      <w:r>
        <w:rPr>
          <w:rFonts w:eastAsia="Calibri" w:cs="Calibri" w:ascii="Calibri" w:hAnsi="Calibri"/>
          <w:sz w:val="24"/>
          <w:szCs w:val="24"/>
          <w:highlight w:val="white"/>
        </w:rPr>
        <w:t>38/2023</w:t>
      </w:r>
      <w:r>
        <w:rPr>
          <w:rFonts w:eastAsia="Calibri" w:cs="Calibri" w:ascii="Calibri" w:hAnsi="Calibri"/>
          <w:sz w:val="24"/>
          <w:szCs w:val="24"/>
        </w:rPr>
        <w:t xml:space="preserve"> e de seus demais anexos.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Na utilização do referido Instrumento de Medição serão observadas as cláusulas e disposições contidas no Termo de Referência – Anexo I deste Edital.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1952" w:righ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0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243" w:right="0" w:hanging="359"/>
        <w:jc w:val="both"/>
        <w:rPr>
          <w:rFonts w:ascii="Calibri" w:hAnsi="Calibri"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Calibri" w:cs="Calibri" w:ascii="Calibri" w:hAnsi="Calibri"/>
          <w:b/>
          <w:sz w:val="24"/>
          <w:szCs w:val="24"/>
        </w:rPr>
        <w:t>DOS INDICADORES, DAS METAS E DOS MECANISMOS DE CÁLCULO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Os serviços e produtos da CONTRATADA serão avaliados por meio de </w:t>
      </w:r>
      <w:r>
        <w:rPr>
          <w:rFonts w:eastAsia="Calibri" w:cs="Calibri" w:ascii="Calibri" w:hAnsi="Calibri"/>
          <w:sz w:val="24"/>
          <w:szCs w:val="24"/>
          <w:shd w:fill="D9D9D9" w:val="clear"/>
        </w:rPr>
        <w:t>quatro indicadores de qualidade</w:t>
      </w:r>
      <w:r>
        <w:rPr>
          <w:rFonts w:eastAsia="Calibri" w:cs="Calibri" w:ascii="Calibri" w:hAnsi="Calibri"/>
          <w:sz w:val="24"/>
          <w:szCs w:val="24"/>
          <w:highlight w:val="white"/>
        </w:rPr>
        <w:t xml:space="preserve">: Prazo de </w:t>
      </w:r>
      <w:r>
        <w:rPr>
          <w:rFonts w:eastAsia="Calibri" w:cs="Calibri" w:ascii="Calibri" w:hAnsi="Calibri"/>
          <w:sz w:val="24"/>
          <w:szCs w:val="24"/>
        </w:rPr>
        <w:t>Reposição das iscas nas armadilhas (caixas de PVC), no máximo a cada 30 (trinta) dias, Empresa contratada deverá realizar a manutenção das armadilhas pelo menos uma vez por mês, Empresa contratada deverá fornecer</w:t>
      </w:r>
      <w:r>
        <w:rPr>
          <w:rFonts w:eastAsia="Calibri" w:cs="Calibri" w:ascii="Calibri" w:hAnsi="Calibri"/>
          <w:sz w:val="24"/>
          <w:szCs w:val="24"/>
          <w:highlight w:val="white"/>
        </w:rPr>
        <w:t xml:space="preserve"> certificado ou comprovação de execução ao final de cada serviço e Uso de Equipamento de Proteção Individual (EPI) pelos funcionários da contratada no momento da prestação dos serviços.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Aos indicadores serão atribuídos pontos de qualidade, conforme critérios apresentados nas tabelas abaixo.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Cada indicador contribui com uma quantidade diferenciada de pontos de qualidade. Essa diferença está relacionada à essencialidade do indicador para a qualidade dos serviços.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A pontuação final de qualidade dos serviços pode resultar em valores entre 0 (zero) e 100 (cem), correspondentes respectivamente às situações de serviço desprovido de qualidade e serviço com qualidade elevada. 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1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672" w:right="0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Para ajuste de pagamento não será necessário a abertura de processo administrativo. Para aplicação das multas acima estabelecidas será garantida a ampla defesa e o contraditório.</w:t>
      </w:r>
    </w:p>
    <w:p>
      <w:pPr>
        <w:pStyle w:val="Normal1"/>
        <w:keepNext w:val="false"/>
        <w:keepLines w:val="false"/>
        <w:pageBreakBefore w:val="false"/>
        <w:widowControl w:val="false"/>
        <w:numPr>
          <w:ilvl w:val="0"/>
          <w:numId w:val="1"/>
        </w:numPr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243" w:right="0" w:hanging="359"/>
        <w:jc w:val="both"/>
        <w:rPr>
          <w:rFonts w:ascii="Calibri" w:hAnsi="Calibri" w:eastAsia="Calibri" w:cs="Calibri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Calibri" w:cs="Calibri" w:ascii="Calibri" w:hAnsi="Calibri"/>
          <w:sz w:val="24"/>
          <w:szCs w:val="24"/>
        </w:rPr>
        <w:t>As tabelas abaixo apresentam os indicadores, as metas, os critérios e os mecanismos de cálculo da pontuação de qualidade.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243" w:righ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1"/>
        <w:tblW w:w="8805" w:type="dxa"/>
        <w:jc w:val="left"/>
        <w:tblInd w:w="171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00"/>
      </w:tblPr>
      <w:tblGrid>
        <w:gridCol w:w="2895"/>
        <w:gridCol w:w="5909"/>
      </w:tblGrid>
      <w:tr>
        <w:trPr>
          <w:trHeight w:val="160" w:hRule="atLeast"/>
        </w:trPr>
        <w:tc>
          <w:tcPr>
            <w:tcW w:w="8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  <w:highlight w:val="white"/>
              </w:rPr>
              <w:t xml:space="preserve">INDICADOR 1 – 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 xml:space="preserve">Prazo de </w:t>
            </w:r>
            <w:r>
              <w:rPr>
                <w:rFonts w:eastAsia="Calibri" w:cs="Calibri" w:ascii="Calibri" w:hAnsi="Calibri"/>
                <w:sz w:val="24"/>
                <w:szCs w:val="24"/>
              </w:rPr>
              <w:t>Reposição das iscas nas armadilhas (caixas de PVC), no máximo a cada 30 (trinta) dias.</w:t>
            </w:r>
          </w:p>
        </w:tc>
      </w:tr>
      <w:tr>
        <w:trPr>
          <w:trHeight w:val="24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ITEM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DESCRIÇÃO</w:t>
            </w:r>
          </w:p>
        </w:tc>
      </w:tr>
      <w:tr>
        <w:trPr>
          <w:trHeight w:val="24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Finalidade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Repor as iscas nas armadilhas (caixas de PVC) no máximo a cada 30 (trinta) dias.</w:t>
            </w:r>
          </w:p>
        </w:tc>
      </w:tr>
      <w:tr>
        <w:trPr>
          <w:trHeight w:val="20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Meta a cumprir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Não passar de 30 dias a reposição das iscas nas armadilhas.</w:t>
            </w:r>
          </w:p>
        </w:tc>
      </w:tr>
      <w:tr>
        <w:trPr>
          <w:trHeight w:val="18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Instrumento de medição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Constatação formal do fiscal técnico.</w:t>
            </w:r>
          </w:p>
        </w:tc>
      </w:tr>
      <w:tr>
        <w:trPr>
          <w:trHeight w:val="26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Forma de Acompanhamento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Pessoal. Pela equipe de fiscalização do contrato.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16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Periodicidade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Mensal. Por caixa de PVC distribuída nos espaços do campus.</w:t>
            </w:r>
          </w:p>
        </w:tc>
      </w:tr>
      <w:tr>
        <w:trPr>
          <w:trHeight w:val="20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Mecanismo de Cálculo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Verificação da fiscalização e/ou gestão do contrato. </w:t>
            </w:r>
          </w:p>
        </w:tc>
      </w:tr>
      <w:tr>
        <w:trPr>
          <w:trHeight w:val="26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Início de Vigência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partir do início da prestação do serviço.</w:t>
            </w:r>
          </w:p>
        </w:tc>
      </w:tr>
      <w:tr>
        <w:trPr>
          <w:trHeight w:val="28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Faixas de ajuste no pagamento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Sem ocorrência de atrasos - 25 pontos 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Com ocorrência de atrasos - 0 pontos</w:t>
            </w:r>
          </w:p>
        </w:tc>
      </w:tr>
      <w:tr>
        <w:trPr>
          <w:trHeight w:val="38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Sanções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Observações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color w:val="FF0000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FF0000"/>
                <w:sz w:val="24"/>
                <w:szCs w:val="24"/>
              </w:rPr>
            </w:r>
            <w:bookmarkStart w:id="0" w:name="_gjdgxs"/>
            <w:bookmarkStart w:id="1" w:name="_gjdgxs"/>
            <w:bookmarkEnd w:id="1"/>
          </w:p>
        </w:tc>
      </w:tr>
    </w:tbl>
    <w:p>
      <w:pPr>
        <w:pStyle w:val="Normal1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1524" w:leader="none"/>
        </w:tabs>
        <w:spacing w:lineRule="auto" w:line="240" w:before="0" w:after="0"/>
        <w:ind w:left="2243" w:righ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2"/>
        <w:tblW w:w="8835" w:type="dxa"/>
        <w:jc w:val="left"/>
        <w:tblInd w:w="16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00"/>
      </w:tblPr>
      <w:tblGrid>
        <w:gridCol w:w="2940"/>
        <w:gridCol w:w="5894"/>
      </w:tblGrid>
      <w:tr>
        <w:trPr>
          <w:trHeight w:val="160" w:hRule="atLeast"/>
        </w:trPr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b/>
                <w:b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  <w:highlight w:val="white"/>
              </w:rPr>
              <w:t xml:space="preserve">INDICADOR 2 – </w:t>
            </w:r>
            <w:r>
              <w:rPr>
                <w:rFonts w:eastAsia="Calibri" w:cs="Calibri" w:ascii="Calibri" w:hAnsi="Calibri"/>
                <w:sz w:val="24"/>
                <w:szCs w:val="24"/>
              </w:rPr>
              <w:t>A empresa contratada deverá realizar a manutenção das armadilhas pelo menos uma vez por mês.</w:t>
            </w:r>
          </w:p>
        </w:tc>
      </w:tr>
      <w:tr>
        <w:trPr>
          <w:trHeight w:val="24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ITEM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DESCRIÇÃO</w:t>
            </w:r>
          </w:p>
        </w:tc>
      </w:tr>
      <w:tr>
        <w:trPr>
          <w:trHeight w:val="24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Finalidade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Realizar a manutenção das armadilhas pelo menos uma vez ao mês.</w:t>
            </w:r>
          </w:p>
        </w:tc>
      </w:tr>
      <w:tr>
        <w:trPr>
          <w:trHeight w:val="20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Meta a cumprir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das armadilhas em perfeito estado de conservação.</w:t>
            </w:r>
          </w:p>
        </w:tc>
      </w:tr>
      <w:tr>
        <w:trPr>
          <w:trHeight w:val="18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Instrumento de medição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Constatação formal do fiscal técnico.</w:t>
            </w:r>
          </w:p>
        </w:tc>
      </w:tr>
      <w:tr>
        <w:trPr>
          <w:trHeight w:val="26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Forma de Acompanhamento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Pessoal. Pela equipe de fiscalização do contrato.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16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Periodicidade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Mensal. Por armadilha (caixas de PVC).</w:t>
            </w:r>
          </w:p>
        </w:tc>
      </w:tr>
      <w:tr>
        <w:trPr>
          <w:trHeight w:val="20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Mecanismo de Cálculo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Verificação da fiscalização e/ou gestão do contrato. </w:t>
            </w:r>
          </w:p>
        </w:tc>
      </w:tr>
      <w:tr>
        <w:trPr>
          <w:trHeight w:val="26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Início de Vigência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partir do início da prestação do serviço.</w:t>
            </w:r>
          </w:p>
        </w:tc>
      </w:tr>
      <w:tr>
        <w:trPr>
          <w:trHeight w:val="28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Faixas de ajuste no pagamento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das armadilhas em perfeito estado de conservação - 25 pontos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entre 86% e 99% das armadilhas em perfeito estado de conservação - 15 pontos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abaixo de 85% das armadilhas em perfeito estado de conservação - 0 pontos 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Sanções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Observações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color w:val="FF0000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FF0000"/>
                <w:sz w:val="24"/>
                <w:szCs w:val="24"/>
              </w:rPr>
            </w:r>
            <w:bookmarkStart w:id="2" w:name="_gjdgxs1"/>
            <w:bookmarkStart w:id="3" w:name="_gjdgxs1"/>
            <w:bookmarkEnd w:id="3"/>
          </w:p>
        </w:tc>
      </w:tr>
    </w:tbl>
    <w:p>
      <w:pPr>
        <w:pStyle w:val="Normal1"/>
        <w:widowControl/>
        <w:rPr>
          <w:rFonts w:ascii="Calibri" w:hAnsi="Calibri" w:eastAsia="Calibri" w:cs="Calibri"/>
          <w:sz w:val="24"/>
          <w:szCs w:val="24"/>
          <w:shd w:fill="FF9900" w:val="clear"/>
        </w:rPr>
      </w:pPr>
      <w:r>
        <w:rPr>
          <w:rFonts w:eastAsia="Calibri" w:cs="Calibri" w:ascii="Calibri" w:hAnsi="Calibri"/>
          <w:sz w:val="24"/>
          <w:szCs w:val="24"/>
          <w:shd w:fill="FF9900" w:val="clear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3" w:after="0"/>
        <w:ind w:left="0" w:right="0" w:hanging="0"/>
        <w:jc w:val="left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ab/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3" w:after="0"/>
        <w:ind w:left="0" w:right="0" w:hanging="0"/>
        <w:jc w:val="left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ab/>
        <w:tab/>
      </w:r>
    </w:p>
    <w:tbl>
      <w:tblPr>
        <w:tblStyle w:val="Table3"/>
        <w:tblW w:w="8835" w:type="dxa"/>
        <w:jc w:val="left"/>
        <w:tblInd w:w="16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00"/>
      </w:tblPr>
      <w:tblGrid>
        <w:gridCol w:w="2940"/>
        <w:gridCol w:w="5894"/>
      </w:tblGrid>
      <w:tr>
        <w:trPr>
          <w:trHeight w:val="160" w:hRule="atLeast"/>
        </w:trPr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  <w:highlight w:val="white"/>
              </w:rPr>
              <w:t xml:space="preserve">INDICADOR 3 – </w:t>
            </w:r>
            <w:r>
              <w:rPr>
                <w:rFonts w:eastAsia="Calibri" w:cs="Calibri" w:ascii="Calibri" w:hAnsi="Calibri"/>
                <w:sz w:val="24"/>
                <w:szCs w:val="24"/>
              </w:rPr>
              <w:t>A empresa contratada deverá fornecer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 xml:space="preserve"> certificado ou comprovação de execução ao final de cada serviço.</w:t>
            </w:r>
          </w:p>
        </w:tc>
      </w:tr>
      <w:tr>
        <w:trPr>
          <w:trHeight w:val="24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ITEM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DESCRIÇÃO</w:t>
            </w:r>
          </w:p>
        </w:tc>
      </w:tr>
      <w:tr>
        <w:trPr>
          <w:trHeight w:val="24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Finalidade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Manter o controle/comprovante da execução dos serviços de desratização e desinsetização. </w:t>
            </w:r>
          </w:p>
        </w:tc>
      </w:tr>
      <w:tr>
        <w:trPr>
          <w:trHeight w:val="20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Meta a cumprir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dos serviços executados com certificado/ou comprovante de execução.</w:t>
            </w:r>
          </w:p>
        </w:tc>
      </w:tr>
      <w:tr>
        <w:trPr>
          <w:trHeight w:val="18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Instrumento de medição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Constatação formal do fiscal técnico.</w:t>
            </w:r>
          </w:p>
        </w:tc>
      </w:tr>
      <w:tr>
        <w:trPr>
          <w:trHeight w:val="26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Forma de Acompanhamento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Envio do certificado/comprovante de execução até o quinto dia útil do mês seguinte ao serviço prestado.</w:t>
            </w:r>
          </w:p>
        </w:tc>
      </w:tr>
      <w:tr>
        <w:trPr>
          <w:trHeight w:val="16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Periodicidade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Mensal. </w:t>
            </w:r>
          </w:p>
        </w:tc>
      </w:tr>
      <w:tr>
        <w:trPr>
          <w:trHeight w:val="20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Mecanismo de Cálculo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Verificação da fiscalização e/ou gestão do contrato. </w:t>
            </w:r>
          </w:p>
        </w:tc>
      </w:tr>
      <w:tr>
        <w:trPr>
          <w:trHeight w:val="26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Início de Vigência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partir do primeiro mês de prestação do serviço.</w:t>
            </w:r>
          </w:p>
        </w:tc>
      </w:tr>
      <w:tr>
        <w:trPr>
          <w:trHeight w:val="28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Faixas de ajuste no pagamento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Envio do certificado/comprovante até o quinto dia útil, do mês seguinte ao serviço prestado - 25 pontos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Envio do certificado/comprovante após o quinto dia útil, do mês seguinte ao serviço prestado - 15 pontos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Não envio do certificado/comprovante após a execução do serviço mensal - 0 pontos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Sanções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Observações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color w:val="FF0000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FF0000"/>
                <w:sz w:val="24"/>
                <w:szCs w:val="24"/>
              </w:rPr>
            </w:r>
            <w:bookmarkStart w:id="4" w:name="_gjdgxs2"/>
            <w:bookmarkStart w:id="5" w:name="_gjdgxs2"/>
            <w:bookmarkEnd w:id="5"/>
          </w:p>
        </w:tc>
      </w:tr>
    </w:tbl>
    <w:p>
      <w:pPr>
        <w:pStyle w:val="Normal1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spacing w:lineRule="auto" w:line="134"/>
        <w:ind w:left="1165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spacing w:lineRule="auto" w:line="240" w:before="3" w:after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4"/>
        <w:tblW w:w="8835" w:type="dxa"/>
        <w:jc w:val="left"/>
        <w:tblInd w:w="16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00"/>
      </w:tblPr>
      <w:tblGrid>
        <w:gridCol w:w="3000"/>
        <w:gridCol w:w="5834"/>
      </w:tblGrid>
      <w:tr>
        <w:trPr>
          <w:tblHeader w:val="true"/>
          <w:trHeight w:val="160" w:hRule="atLeast"/>
        </w:trPr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  <w:highlight w:val="yellow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  <w:highlight w:val="white"/>
              </w:rPr>
              <w:t xml:space="preserve">INDICADOR 4 – 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>Uso de Equipamento de Proteção Individual (EPI) pelos funcionários da contratada no momento da prestação dos serviços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blHeader w:val="true"/>
          <w:trHeight w:val="24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ITEM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DESCRIÇÃO</w:t>
            </w:r>
          </w:p>
        </w:tc>
      </w:tr>
      <w:tr>
        <w:trPr>
          <w:tblHeader w:val="true"/>
          <w:trHeight w:val="24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Finalidade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Mensurar o atendimento às exigências específicas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relacionadas à segurança do trabalho, p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>reservando a saúde, a segurança e a integridade física do trabalhador.</w:t>
            </w:r>
          </w:p>
        </w:tc>
      </w:tr>
      <w:tr>
        <w:trPr>
          <w:tblHeader w:val="true"/>
          <w:trHeight w:val="20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Meta a cumprir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Nenhuma ocorrência durante a prestação dos serviços.</w:t>
            </w:r>
          </w:p>
        </w:tc>
      </w:tr>
      <w:tr>
        <w:trPr>
          <w:tblHeader w:val="true"/>
          <w:trHeight w:val="18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Instrumento de medição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Constatação formal de ocorrências.</w:t>
            </w:r>
          </w:p>
        </w:tc>
      </w:tr>
      <w:tr>
        <w:trPr>
          <w:tblHeader w:val="true"/>
          <w:trHeight w:val="26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Forma de Acompanhamento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Pessoal. Pela equipe de fiscalização do contrato.</w:t>
            </w:r>
          </w:p>
        </w:tc>
      </w:tr>
      <w:tr>
        <w:trPr>
          <w:trHeight w:val="16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Periodicidade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Mensal. No momento da prestação dos serviços.</w:t>
            </w:r>
          </w:p>
        </w:tc>
      </w:tr>
      <w:tr>
        <w:trPr>
          <w:trHeight w:val="20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Mecanismo de Cálculo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Verificação da quantidade de ocorrências registrada no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mês de referência.</w:t>
            </w:r>
          </w:p>
        </w:tc>
      </w:tr>
      <w:tr>
        <w:trPr>
          <w:trHeight w:val="26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Início de Vigência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partir do início da prestação do serviço.</w:t>
            </w:r>
          </w:p>
        </w:tc>
      </w:tr>
      <w:tr>
        <w:trPr>
          <w:trHeight w:val="28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Faixas de ajuste no pagamento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Sem ocorrência - 25 pontos </w:t>
            </w:r>
          </w:p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Com ocorrência  - 0 pontos</w:t>
            </w:r>
          </w:p>
        </w:tc>
      </w:tr>
      <w:tr>
        <w:trPr>
          <w:trHeight w:val="38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Sanções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Observações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  <w:bookmarkStart w:id="6" w:name="_gjdgxs3"/>
            <w:bookmarkStart w:id="7" w:name="_gjdgxs3"/>
            <w:bookmarkEnd w:id="7"/>
          </w:p>
        </w:tc>
      </w:tr>
    </w:tbl>
    <w:p>
      <w:pPr>
        <w:pStyle w:val="Normal1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widowControl/>
        <w:numPr>
          <w:ilvl w:val="0"/>
          <w:numId w:val="1"/>
        </w:numPr>
        <w:ind w:left="2243" w:hanging="358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FAIXAS DE AJUSTE DE PAGAMENTO</w:t>
      </w:r>
    </w:p>
    <w:p>
      <w:pPr>
        <w:pStyle w:val="Normal1"/>
        <w:widowControl/>
        <w:numPr>
          <w:ilvl w:val="1"/>
          <w:numId w:val="1"/>
        </w:numPr>
        <w:ind w:left="2672" w:hanging="430"/>
        <w:jc w:val="both"/>
        <w:rPr>
          <w:rFonts w:ascii="Calibri" w:hAnsi="Calibri" w:eastAsia="Calibri" w:cs="Calibri"/>
          <w:sz w:val="24"/>
          <w:szCs w:val="24"/>
          <w:u w:val="none"/>
        </w:rPr>
      </w:pPr>
      <w:r>
        <w:rPr>
          <w:rFonts w:eastAsia="Calibri" w:cs="Calibri" w:ascii="Calibri" w:hAnsi="Calibri"/>
          <w:sz w:val="24"/>
          <w:szCs w:val="24"/>
        </w:rPr>
        <w:t>As pontuações de qualidade devem ser totalizadas para o mês de referência, conforme métodos apresentados nas tabelas acima.</w:t>
      </w:r>
    </w:p>
    <w:p>
      <w:pPr>
        <w:pStyle w:val="Normal1"/>
        <w:widowControl/>
        <w:numPr>
          <w:ilvl w:val="1"/>
          <w:numId w:val="1"/>
        </w:numPr>
        <w:ind w:left="2672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A aplicação dos critérios de averiguação da qualidade resultará em uma pontuação final no intervalo de 0 a 100 pontos, correspondente à soma das pontuações obtidas para cada indicador, conforme fórmula abaixo:</w:t>
      </w:r>
    </w:p>
    <w:tbl>
      <w:tblPr>
        <w:tblStyle w:val="Table5"/>
        <w:tblW w:w="8685" w:type="dxa"/>
        <w:jc w:val="left"/>
        <w:tblInd w:w="18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3480"/>
        <w:gridCol w:w="5204"/>
      </w:tblGrid>
      <w:tr>
        <w:trPr>
          <w:trHeight w:val="800" w:hRule="atLeast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Pontuação total do serviço =</w:t>
            </w:r>
          </w:p>
        </w:tc>
        <w:tc>
          <w:tcPr>
            <w:tcW w:w="5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Pontos “Indicador 1” + Pontos “Indicador 2” + Pontos “Indicador 3” + Pontos “Indicador 4”.</w:t>
            </w:r>
          </w:p>
        </w:tc>
      </w:tr>
    </w:tbl>
    <w:p>
      <w:pPr>
        <w:pStyle w:val="Normal1"/>
        <w:widowControl/>
        <w:ind w:left="2243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ab/>
      </w:r>
    </w:p>
    <w:p>
      <w:pPr>
        <w:pStyle w:val="Normal1"/>
        <w:widowControl/>
        <w:numPr>
          <w:ilvl w:val="1"/>
          <w:numId w:val="1"/>
        </w:numPr>
        <w:ind w:left="2672" w:hanging="43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Os pagamentos devidos, relativos a cada mês de referência, devem ser ajustados pela pontuação total do serviço, conforme tabela e fórmula apresentadas abaixo:</w:t>
      </w:r>
    </w:p>
    <w:p>
      <w:pPr>
        <w:pStyle w:val="Normal1"/>
        <w:widowControl/>
        <w:ind w:left="2672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6"/>
        <w:tblW w:w="8760" w:type="dxa"/>
        <w:jc w:val="left"/>
        <w:tblInd w:w="174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/>
      </w:tblPr>
      <w:tblGrid>
        <w:gridCol w:w="3285"/>
        <w:gridCol w:w="2564"/>
        <w:gridCol w:w="2911"/>
      </w:tblGrid>
      <w:tr>
        <w:trPr>
          <w:trHeight w:val="886" w:hRule="atLeast"/>
        </w:trPr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Faixas de pontuação de qualidade da ordem de serviço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Pagamento devido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Fator de ajuste de nível de serviço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</w:tr>
      <w:tr>
        <w:trPr>
          <w:trHeight w:val="570" w:hRule="atLeast"/>
        </w:trPr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De 90 a 100 pontos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ab/>
              <w:tab/>
              <w:tab/>
              <w:t>100% do valor previsto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1,00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</w:tr>
      <w:tr>
        <w:trPr>
          <w:trHeight w:val="570" w:hRule="atLeast"/>
        </w:trPr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De 75 a 89 pontos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ab/>
              <w:tab/>
              <w:tab/>
              <w:t>95% do valor previsto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0,95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</w:tr>
      <w:tr>
        <w:trPr>
          <w:trHeight w:val="570" w:hRule="atLeast"/>
        </w:trPr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De 50 a 74 pontos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90% do valor previsto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0,90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</w:tr>
      <w:tr>
        <w:trPr>
          <w:trHeight w:val="570" w:hRule="atLeast"/>
        </w:trPr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Abaixo de 50 pontos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ab/>
              <w:tab/>
              <w:tab/>
              <w:t>90% do valor previsto + multa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0,90 + avaliar necessidade de aplicação de multa contratual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</w:tr>
      <w:tr>
        <w:trPr>
          <w:trHeight w:val="570" w:hRule="atLeast"/>
        </w:trPr>
        <w:tc>
          <w:tcPr>
            <w:tcW w:w="8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rPr/>
            </w:pPr>
            <w:r>
              <w:rPr/>
              <w:t>Valor devido por ordem de serviço = [(Valor mensal previsto) X (Fator de ajuste de nível de serviço)]</w:t>
            </w:r>
          </w:p>
          <w:p>
            <w:pPr>
              <w:pStyle w:val="Normal1"/>
              <w:widowControl w:val="false"/>
              <w:rPr/>
            </w:pPr>
            <w:r>
              <w:rPr/>
              <w:tab/>
              <w:tab/>
            </w:r>
          </w:p>
        </w:tc>
      </w:tr>
    </w:tbl>
    <w:p>
      <w:pPr>
        <w:pStyle w:val="Normal1"/>
        <w:spacing w:lineRule="auto" w:line="240" w:before="240" w:after="240"/>
        <w:ind w:left="0" w:hanging="0"/>
        <w:rPr/>
      </w:pPr>
      <w:r>
        <w:rPr>
          <w:sz w:val="20"/>
          <w:szCs w:val="20"/>
        </w:rPr>
        <w:br/>
      </w:r>
      <w:r>
        <w:rPr/>
        <w:t xml:space="preserve"> </w:t>
        <w:tab/>
      </w:r>
    </w:p>
    <w:p>
      <w:pPr>
        <w:pStyle w:val="Normal1"/>
        <w:numPr>
          <w:ilvl w:val="0"/>
          <w:numId w:val="1"/>
        </w:numPr>
        <w:spacing w:lineRule="auto" w:line="240" w:before="240" w:after="240"/>
        <w:ind w:left="2243" w:hanging="358"/>
        <w:rPr/>
      </w:pPr>
      <w:r>
        <w:rPr>
          <w:b/>
        </w:rPr>
        <w:t>CHECK LIST PARA A AVALIAÇÃO DE NÍVEL DE SERVIÇOS</w:t>
      </w:r>
    </w:p>
    <w:tbl>
      <w:tblPr>
        <w:tblStyle w:val="Table7"/>
        <w:tblW w:w="8760" w:type="dxa"/>
        <w:jc w:val="left"/>
        <w:tblInd w:w="169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/>
      </w:tblPr>
      <w:tblGrid>
        <w:gridCol w:w="3044"/>
        <w:gridCol w:w="3570"/>
        <w:gridCol w:w="1006"/>
        <w:gridCol w:w="1139"/>
      </w:tblGrid>
      <w:tr>
        <w:trPr>
          <w:trHeight w:val="510" w:hRule="atLeast"/>
        </w:trPr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Indicador</w:t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ab/>
              <w:tab/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Critério (Faixas de Pontuação)</w:t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ab/>
              <w:tab/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ab/>
              <w:tab/>
              <w:tab/>
              <w:t>Pontos</w:t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ab/>
              <w:tab/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ab/>
              <w:tab/>
              <w:tab/>
              <w:t>Avaliação</w:t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ab/>
              <w:tab/>
            </w:r>
          </w:p>
        </w:tc>
      </w:tr>
      <w:tr>
        <w:trPr>
          <w:trHeight w:val="735" w:hRule="atLeast"/>
        </w:trPr>
        <w:tc>
          <w:tcPr>
            <w:tcW w:w="3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b/>
                <w:b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 xml:space="preserve">Prazo de </w:t>
            </w:r>
            <w:r>
              <w:rPr>
                <w:rFonts w:eastAsia="Calibri" w:cs="Calibri" w:ascii="Calibri" w:hAnsi="Calibri"/>
                <w:sz w:val="24"/>
                <w:szCs w:val="24"/>
              </w:rPr>
              <w:t>Reposição das iscas nas armadilhas (caixas de PVC), no máximo a cada 30 (trinta) dias.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Sem ocorrência de atrasos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</w:tc>
        <w:tc>
          <w:tcPr>
            <w:tcW w:w="1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  <w:tab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</w:tr>
      <w:tr>
        <w:trPr>
          <w:trHeight w:val="374" w:hRule="atLeast"/>
        </w:trPr>
        <w:tc>
          <w:tcPr>
            <w:tcW w:w="304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Com ocorrência de atrasos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0</w:t>
            </w:r>
          </w:p>
        </w:tc>
        <w:tc>
          <w:tcPr>
            <w:tcW w:w="11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570" w:hRule="atLeast"/>
        </w:trPr>
        <w:tc>
          <w:tcPr>
            <w:tcW w:w="3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 empresa contratada deverá realizar a manutenção das armadilhas pelo menos uma vez por mês.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das armadilhas em perfeito estado de conservação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</w:tc>
        <w:tc>
          <w:tcPr>
            <w:tcW w:w="1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</w:tr>
      <w:tr>
        <w:trPr>
          <w:trHeight w:val="840" w:hRule="atLeast"/>
        </w:trPr>
        <w:tc>
          <w:tcPr>
            <w:tcW w:w="304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entre 86% e 99% das armadilhas em perfeito estado de conservação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15</w:t>
            </w:r>
          </w:p>
        </w:tc>
        <w:tc>
          <w:tcPr>
            <w:tcW w:w="11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840" w:hRule="atLeast"/>
        </w:trPr>
        <w:tc>
          <w:tcPr>
            <w:tcW w:w="304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abaixo de 85% das armadilhas em perfeito estado de conservação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0</w:t>
            </w:r>
          </w:p>
        </w:tc>
        <w:tc>
          <w:tcPr>
            <w:tcW w:w="11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990" w:hRule="atLeast"/>
        </w:trPr>
        <w:tc>
          <w:tcPr>
            <w:tcW w:w="3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 empresa contratada deverá fornecer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 xml:space="preserve"> certificado ou comprovação de execução ao final de cada serviço.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Envio do certificado/comprovante até o quinto dia útil, do mês seguinte ao serviço prestado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  <w:tab/>
              <w:br/>
              <w:t xml:space="preserve">    25</w:t>
              <w:tab/>
              <w:tab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  <w:tc>
          <w:tcPr>
            <w:tcW w:w="1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  <w:tab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</w:tr>
      <w:tr>
        <w:trPr>
          <w:trHeight w:val="570" w:hRule="atLeast"/>
        </w:trPr>
        <w:tc>
          <w:tcPr>
            <w:tcW w:w="304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Envio do certificado/comprovante após o quinto dia útil, do mês seguinte ao serviço prestado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15</w:t>
            </w:r>
          </w:p>
        </w:tc>
        <w:tc>
          <w:tcPr>
            <w:tcW w:w="11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035" w:hRule="atLeast"/>
        </w:trPr>
        <w:tc>
          <w:tcPr>
            <w:tcW w:w="304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Não envio do certificado/comprovante após a execução do serviço mensal </w:t>
            </w:r>
          </w:p>
          <w:p>
            <w:pPr>
              <w:pStyle w:val="Normal1"/>
              <w:widowControl w:val="false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  <w:tab/>
              <w:br/>
              <w:t xml:space="preserve">    0</w:t>
              <w:tab/>
              <w:tab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  <w:tc>
          <w:tcPr>
            <w:tcW w:w="11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850" w:hRule="atLeast"/>
        </w:trPr>
        <w:tc>
          <w:tcPr>
            <w:tcW w:w="3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>
                <w:rFonts w:ascii="Calibri" w:hAnsi="Calibri" w:eastAsia="Calibri" w:cs="Calibri"/>
                <w:sz w:val="24"/>
                <w:szCs w:val="24"/>
                <w:highlight w:val="yellow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>Uso de Equipamento de Proteção Individual (EPI) pelos funcionários da contratada no momento da prestação dos serviços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Sem ocorrência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  <w:tc>
          <w:tcPr>
            <w:tcW w:w="1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>25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</w:tr>
      <w:tr>
        <w:trPr>
          <w:trHeight w:val="690" w:hRule="atLeast"/>
        </w:trPr>
        <w:tc>
          <w:tcPr>
            <w:tcW w:w="304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ind w:left="0" w:hanging="0"/>
              <w:rPr/>
            </w:pPr>
            <w:r>
              <w:rPr/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Com ocorrência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0</w:t>
            </w:r>
          </w:p>
        </w:tc>
        <w:tc>
          <w:tcPr>
            <w:tcW w:w="11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7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  <w:tab/>
              <w:t>Pontuação Total do Serviço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center"/>
              <w:rPr/>
            </w:pPr>
            <w:r>
              <w:rPr/>
              <w:t>100</w:t>
            </w:r>
          </w:p>
          <w:p>
            <w:pPr>
              <w:pStyle w:val="Normal1"/>
              <w:widowControl w:val="false"/>
              <w:jc w:val="center"/>
              <w:rPr/>
            </w:pPr>
            <w:r>
              <w:rPr/>
              <w:tab/>
              <w:tab/>
            </w:r>
          </w:p>
        </w:tc>
      </w:tr>
    </w:tbl>
    <w:p>
      <w:pPr>
        <w:pStyle w:val="Normal1"/>
        <w:ind w:left="0" w:right="5019" w:hanging="0"/>
        <w:rPr>
          <w:rFonts w:ascii="Calibri" w:hAnsi="Calibri" w:eastAsia="Calibri" w:cs="Calibri"/>
          <w:sz w:val="24"/>
          <w:szCs w:val="24"/>
        </w:rPr>
      </w:pPr>
      <w:r>
        <w:rPr/>
      </w:r>
    </w:p>
    <w:sectPr>
      <w:type w:val="nextPage"/>
      <w:pgSz w:w="11906" w:h="16838"/>
      <w:pgMar w:left="560" w:right="960" w:gutter="0" w:header="0" w:top="1580" w:footer="0" w:bottom="28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right"/>
      <w:pPr>
        <w:tabs>
          <w:tab w:val="num" w:pos="0"/>
        </w:tabs>
        <w:ind w:left="2243" w:hanging="358"/>
      </w:pPr>
      <w:rPr>
        <w:sz w:val="20"/>
        <w:b/>
        <w:szCs w:val="20"/>
        <w:rFonts w:ascii="Arial" w:hAnsi="Arial" w:eastAsia="Arial" w:cs="Arial"/>
      </w:rPr>
    </w:lvl>
    <w:lvl w:ilvl="1">
      <w:start w:val="1"/>
      <w:numFmt w:val="decimal"/>
      <w:lvlText w:val="%1.%2."/>
      <w:lvlJc w:val="right"/>
      <w:pPr>
        <w:tabs>
          <w:tab w:val="num" w:pos="0"/>
        </w:tabs>
        <w:ind w:left="2672" w:hanging="430"/>
      </w:pPr>
      <w:rPr>
        <w:sz w:val="20"/>
        <w:b/>
        <w:szCs w:val="20"/>
        <w:rFonts w:ascii="Arial" w:hAnsi="Arial" w:eastAsia="Arial" w:cs="Arial"/>
      </w:rPr>
    </w:lvl>
    <w:lvl w:ilvl="2">
      <w:start w:val="0"/>
      <w:numFmt w:val="decimal"/>
      <w:lvlText w:val="%1.%2.%3."/>
      <w:lvlJc w:val="right"/>
      <w:pPr>
        <w:tabs>
          <w:tab w:val="num" w:pos="0"/>
        </w:tabs>
        <w:ind w:left="3616" w:hanging="430"/>
      </w:pPr>
      <w:rPr/>
    </w:lvl>
    <w:lvl w:ilvl="3">
      <w:start w:val="0"/>
      <w:numFmt w:val="decimal"/>
      <w:lvlText w:val="%1.%2.%3.%4."/>
      <w:lvlJc w:val="right"/>
      <w:pPr>
        <w:tabs>
          <w:tab w:val="num" w:pos="0"/>
        </w:tabs>
        <w:ind w:left="4552" w:hanging="430"/>
      </w:pPr>
      <w:rPr/>
    </w:lvl>
    <w:lvl w:ilvl="4">
      <w:start w:val="0"/>
      <w:numFmt w:val="decimal"/>
      <w:lvlText w:val="%1.%2.%3.%4.%5."/>
      <w:lvlJc w:val="right"/>
      <w:pPr>
        <w:tabs>
          <w:tab w:val="num" w:pos="0"/>
        </w:tabs>
        <w:ind w:left="5488" w:hanging="430"/>
      </w:pPr>
      <w:rPr/>
    </w:lvl>
    <w:lvl w:ilvl="5">
      <w:start w:val="0"/>
      <w:numFmt w:val="decimal"/>
      <w:lvlText w:val="%1.%2.%3.%4.%5.%6."/>
      <w:lvlJc w:val="right"/>
      <w:pPr>
        <w:tabs>
          <w:tab w:val="num" w:pos="0"/>
        </w:tabs>
        <w:ind w:left="6424" w:hanging="430"/>
      </w:pPr>
      <w:rPr/>
    </w:lvl>
    <w:lvl w:ilvl="6">
      <w:start w:val="0"/>
      <w:numFmt w:val="decimal"/>
      <w:lvlText w:val="%1.%2.%3.%4.%5.%6.%7."/>
      <w:lvlJc w:val="right"/>
      <w:pPr>
        <w:tabs>
          <w:tab w:val="num" w:pos="0"/>
        </w:tabs>
        <w:ind w:left="7360" w:hanging="430"/>
      </w:pPr>
      <w:rPr/>
    </w:lvl>
    <w:lvl w:ilvl="7">
      <w:start w:val="0"/>
      <w:numFmt w:val="decimal"/>
      <w:lvlText w:val="%1.%2.%3.%4.%5.%6.%7.%8."/>
      <w:lvlJc w:val="right"/>
      <w:pPr>
        <w:tabs>
          <w:tab w:val="num" w:pos="0"/>
        </w:tabs>
        <w:ind w:left="8297" w:hanging="430"/>
      </w:pPr>
      <w:rPr/>
    </w:lvl>
    <w:lvl w:ilvl="8">
      <w:start w:val="0"/>
      <w:numFmt w:val="decimal"/>
      <w:lvlText w:val="%1.%2.%3.%4.%5.%6.%7.%8.%9."/>
      <w:lvlJc w:val="right"/>
      <w:pPr>
        <w:tabs>
          <w:tab w:val="num" w:pos="0"/>
        </w:tabs>
        <w:ind w:left="9233" w:hanging="43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Normal1" w:default="1">
    <w:name w:val="LO-normal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Normal1"/>
    <w:next w:val="Normal1"/>
    <w:qFormat/>
    <w:pPr>
      <w:ind w:left="2956" w:right="1629" w:hanging="0"/>
      <w:jc w:val="center"/>
    </w:pPr>
    <w:rPr>
      <w:rFonts w:ascii="Arial" w:hAnsi="Arial" w:eastAsia="Arial" w:cs="Arial"/>
      <w:b/>
      <w:sz w:val="20"/>
      <w:szCs w:val="20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LibreOffice/7.4.1.2$Windows_X86_64 LibreOffice_project/3c58a8f3a960df8bc8fd77b461821e42c061c5f0</Application>
  <AppVersion>15.0000</AppVersion>
  <Pages>5</Pages>
  <Words>1186</Words>
  <Characters>6485</Characters>
  <CharactersWithSpaces>7621</CharactersWithSpaces>
  <Paragraphs>198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2023-10-10T16:39:12Z</dcterms:modified>
  <cp:revision>2</cp:revision>
  <dc:subject/>
  <dc:title/>
</cp:coreProperties>
</file>